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57"/>
        <w:jc w:val="center"/>
        <w:rPr>
          <w:rFonts w:ascii="Arial" w:hAnsi="Arial" w:cs="Arial"/>
          <w:b/>
          <w:color w:val="006699"/>
        </w:rPr>
      </w:pPr>
    </w:p>
    <w:p>
      <w:pPr>
        <w:ind w:left="57"/>
        <w:jc w:val="center"/>
        <w:rPr>
          <w:rFonts w:ascii="Arial" w:hAnsi="Arial" w:cs="Arial"/>
          <w:b/>
          <w:color w:val="006699"/>
        </w:rPr>
      </w:pPr>
      <w:r>
        <w:rPr>
          <w:rFonts w:ascii="Arial" w:hAnsi="Arial" w:cs="Arial"/>
          <w:b/>
          <w:color w:val="006699"/>
        </w:rPr>
        <w:t>FIŞA DISCIPLINEI</w:t>
      </w:r>
    </w:p>
    <w:p>
      <w:pPr>
        <w:ind w:left="57"/>
        <w:jc w:val="both"/>
        <w:rPr>
          <w:rFonts w:ascii="Arial" w:hAnsi="Arial" w:cs="Arial"/>
          <w:b/>
          <w:color w:val="006699"/>
        </w:rPr>
      </w:pPr>
    </w:p>
    <w:tbl>
      <w:tblPr>
        <w:tblStyle w:val="5"/>
        <w:tblpPr w:leftFromText="180" w:rightFromText="180" w:vertAnchor="text" w:horzAnchor="margin" w:tblpY="170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6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8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 Date despre program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1.1</w:t>
            </w:r>
            <w:r>
              <w:rPr>
                <w:rFonts w:ascii="Arial" w:hAnsi="Arial" w:cs="Arial"/>
                <w:sz w:val="20"/>
              </w:rPr>
              <w:t xml:space="preserve"> Instituţia de învăţământ superior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Universitatea “Alexandru Ioan Cuza” din Iaşi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1.2 </w:t>
            </w:r>
            <w:r>
              <w:rPr>
                <w:rFonts w:ascii="Arial" w:hAnsi="Arial" w:cs="Arial"/>
                <w:sz w:val="20"/>
              </w:rPr>
              <w:t>Facultatea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Facultatea de Matematica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1.3 </w:t>
            </w:r>
            <w:r>
              <w:rPr>
                <w:rFonts w:ascii="Arial" w:hAnsi="Arial" w:cs="Arial"/>
                <w:sz w:val="20"/>
              </w:rPr>
              <w:t>Departamentul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Matematica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1.4 </w:t>
            </w:r>
            <w:r>
              <w:rPr>
                <w:rFonts w:ascii="Arial" w:hAnsi="Arial" w:cs="Arial"/>
                <w:sz w:val="20"/>
              </w:rPr>
              <w:t>Domeniul de studii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Matematica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1.5</w:t>
            </w:r>
            <w:r>
              <w:rPr>
                <w:rFonts w:ascii="Arial" w:hAnsi="Arial" w:cs="Arial"/>
                <w:sz w:val="20"/>
              </w:rPr>
              <w:t xml:space="preserve"> Ciclul de studii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Licenta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1.6</w:t>
            </w:r>
            <w:r>
              <w:rPr>
                <w:rFonts w:ascii="Arial" w:hAnsi="Arial" w:cs="Arial"/>
                <w:sz w:val="20"/>
              </w:rPr>
              <w:t xml:space="preserve"> Programul de studii / Calificarea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Matematica</w:t>
            </w:r>
          </w:p>
        </w:tc>
      </w:tr>
    </w:tbl>
    <w:p>
      <w:pPr>
        <w:rPr>
          <w:rFonts w:ascii="Arial" w:hAnsi="Arial" w:cs="Arial"/>
        </w:rPr>
      </w:pPr>
    </w:p>
    <w:tbl>
      <w:tblPr>
        <w:tblStyle w:val="5"/>
        <w:tblpPr w:leftFromText="180" w:rightFromText="180" w:vertAnchor="text" w:horzAnchor="margin" w:tblpY="170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443"/>
        <w:gridCol w:w="1534"/>
        <w:gridCol w:w="425"/>
        <w:gridCol w:w="2106"/>
        <w:gridCol w:w="652"/>
        <w:gridCol w:w="2232"/>
        <w:gridCol w:w="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889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2. Date despre disciplină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2.1</w:t>
            </w:r>
            <w:r>
              <w:rPr>
                <w:rFonts w:ascii="Arial" w:hAnsi="Arial" w:cs="Arial"/>
                <w:sz w:val="20"/>
              </w:rPr>
              <w:t xml:space="preserve"> Denumirea disciplinei</w:t>
            </w:r>
          </w:p>
        </w:tc>
        <w:tc>
          <w:tcPr>
            <w:tcW w:w="6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Complemente de algebră şi geometrie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2.2</w:t>
            </w:r>
            <w:r>
              <w:rPr>
                <w:rFonts w:ascii="Arial" w:hAnsi="Arial" w:cs="Arial"/>
                <w:sz w:val="20"/>
              </w:rPr>
              <w:t xml:space="preserve"> Titularul activităţilor de curs</w:t>
            </w:r>
          </w:p>
        </w:tc>
        <w:tc>
          <w:tcPr>
            <w:tcW w:w="6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Marius T</w:t>
            </w:r>
            <w:r>
              <w:rPr>
                <w:rFonts w:ascii="Arial" w:hAnsi="Arial" w:cs="Arial"/>
                <w:b/>
                <w:sz w:val="20"/>
              </w:rPr>
              <w:t>ă</w:t>
            </w:r>
            <w:r>
              <w:rPr>
                <w:rFonts w:ascii="Arial" w:hAnsi="Arial" w:cs="Arial"/>
                <w:b/>
                <w:sz w:val="20"/>
                <w:szCs w:val="20"/>
              </w:rPr>
              <w:t>rn</w:t>
            </w:r>
            <w:r>
              <w:rPr>
                <w:rFonts w:ascii="Arial" w:hAnsi="Arial" w:cs="Arial"/>
                <w:b/>
                <w:sz w:val="20"/>
              </w:rPr>
              <w:t>ă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uceanu </w:t>
            </w:r>
            <w:r>
              <w:rPr>
                <w:rFonts w:ascii="Arial" w:hAnsi="Arial" w:cs="Arial"/>
                <w:b/>
                <w:sz w:val="20"/>
              </w:rPr>
              <w:t>/ Lect. dr. Oana Constantinescu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2.3</w:t>
            </w:r>
            <w:r>
              <w:rPr>
                <w:rFonts w:ascii="Arial" w:hAnsi="Arial" w:cs="Arial"/>
                <w:sz w:val="20"/>
              </w:rPr>
              <w:t xml:space="preserve"> Titularul activităţilor de seminar</w:t>
            </w:r>
          </w:p>
        </w:tc>
        <w:tc>
          <w:tcPr>
            <w:tcW w:w="6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Marius T</w:t>
            </w:r>
            <w:r>
              <w:rPr>
                <w:rFonts w:ascii="Arial" w:hAnsi="Arial" w:cs="Arial"/>
                <w:b/>
                <w:sz w:val="20"/>
              </w:rPr>
              <w:t>ă</w:t>
            </w:r>
            <w:r>
              <w:rPr>
                <w:rFonts w:ascii="Arial" w:hAnsi="Arial" w:cs="Arial"/>
                <w:b/>
                <w:sz w:val="20"/>
                <w:szCs w:val="20"/>
              </w:rPr>
              <w:t>rn</w:t>
            </w:r>
            <w:r>
              <w:rPr>
                <w:rFonts w:ascii="Arial" w:hAnsi="Arial" w:cs="Arial"/>
                <w:b/>
                <w:sz w:val="20"/>
              </w:rPr>
              <w:t>ă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uceanu </w:t>
            </w:r>
            <w:r>
              <w:rPr>
                <w:rFonts w:ascii="Arial" w:hAnsi="Arial" w:cs="Arial"/>
                <w:b/>
                <w:sz w:val="20"/>
              </w:rPr>
              <w:t>/ Lect. dr. Oana Constantinescu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2.4</w:t>
            </w:r>
            <w:r>
              <w:rPr>
                <w:rFonts w:ascii="Arial" w:hAnsi="Arial" w:cs="Arial"/>
                <w:sz w:val="20"/>
              </w:rPr>
              <w:t xml:space="preserve"> An de studiu</w:t>
            </w:r>
          </w:p>
        </w:tc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III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2.5</w:t>
            </w:r>
            <w:r>
              <w:rPr>
                <w:rFonts w:ascii="Arial" w:hAnsi="Arial" w:cs="Arial"/>
                <w:sz w:val="20"/>
              </w:rPr>
              <w:t xml:space="preserve"> Semestru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2.6</w:t>
            </w:r>
            <w:r>
              <w:rPr>
                <w:rFonts w:ascii="Arial" w:hAnsi="Arial" w:cs="Arial"/>
                <w:sz w:val="20"/>
              </w:rPr>
              <w:t xml:space="preserve"> Tip de evaluare</w:t>
            </w: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EvP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2.7</w:t>
            </w:r>
            <w:r>
              <w:rPr>
                <w:rFonts w:ascii="Arial" w:hAnsi="Arial" w:cs="Arial"/>
                <w:spacing w:val="-2"/>
                <w:sz w:val="20"/>
              </w:rPr>
              <w:t xml:space="preserve"> Regimul discipinei</w:t>
            </w:r>
            <w:r>
              <w:rPr>
                <w:rFonts w:ascii="Arial" w:hAnsi="Arial" w:cs="Arial"/>
                <w:spacing w:val="-2"/>
                <w:sz w:val="20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OP</w:t>
            </w:r>
          </w:p>
        </w:tc>
      </w:tr>
    </w:tbl>
    <w:p>
      <w:pPr>
        <w:ind w:left="57"/>
        <w:rPr>
          <w:rFonts w:ascii="Arial" w:hAnsi="Arial" w:cs="Arial"/>
          <w:bCs/>
          <w:i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* </w:t>
      </w:r>
      <w:r>
        <w:rPr>
          <w:rFonts w:ascii="Arial" w:hAnsi="Arial" w:cs="Arial"/>
          <w:bCs/>
          <w:i/>
          <w:sz w:val="16"/>
          <w:szCs w:val="16"/>
        </w:rPr>
        <w:t>OB – Obligatoriu / OP – Opţional</w:t>
      </w:r>
    </w:p>
    <w:p>
      <w:pPr>
        <w:ind w:left="57"/>
        <w:rPr>
          <w:rFonts w:ascii="Arial" w:hAnsi="Arial" w:cs="Arial"/>
        </w:rPr>
      </w:pPr>
    </w:p>
    <w:tbl>
      <w:tblPr>
        <w:tblStyle w:val="5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454"/>
        <w:gridCol w:w="2097"/>
        <w:gridCol w:w="567"/>
        <w:gridCol w:w="2268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988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before="120"/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3. Timpul total estimat </w:t>
            </w:r>
            <w:r>
              <w:rPr>
                <w:rFonts w:ascii="Arial" w:hAnsi="Arial" w:cs="Arial"/>
                <w:sz w:val="20"/>
              </w:rPr>
              <w:t>(ore pe semestru şi activităţi didactice)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t>3.1</w:t>
            </w:r>
            <w:r>
              <w:rPr>
                <w:rFonts w:ascii="Arial" w:hAnsi="Arial" w:cs="Arial"/>
                <w:sz w:val="20"/>
                <w:lang w:val="fr-FR"/>
              </w:rPr>
              <w:t xml:space="preserve"> Număr de ore pe săptămână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b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t>4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din care: </w:t>
            </w:r>
            <w:r>
              <w:rPr>
                <w:rFonts w:ascii="Arial" w:hAnsi="Arial" w:cs="Arial"/>
                <w:b/>
                <w:sz w:val="20"/>
              </w:rPr>
              <w:t>3.2</w:t>
            </w:r>
            <w:r>
              <w:rPr>
                <w:rFonts w:ascii="Arial" w:hAnsi="Arial" w:cs="Arial"/>
                <w:sz w:val="20"/>
              </w:rPr>
              <w:t xml:space="preserve">      curs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3.3</w:t>
            </w:r>
            <w:r>
              <w:rPr>
                <w:rFonts w:ascii="Arial" w:hAnsi="Arial" w:cs="Arial"/>
                <w:sz w:val="20"/>
              </w:rPr>
              <w:t xml:space="preserve">  seminar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t xml:space="preserve">3.4 </w:t>
            </w:r>
            <w:r>
              <w:rPr>
                <w:rFonts w:ascii="Arial" w:hAnsi="Arial" w:cs="Arial"/>
                <w:sz w:val="20"/>
                <w:lang w:val="fr-FR"/>
              </w:rPr>
              <w:t>Total ore din planul de învăţământ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t>56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din care: </w:t>
            </w:r>
            <w:r>
              <w:rPr>
                <w:rFonts w:ascii="Arial" w:hAnsi="Arial" w:cs="Arial"/>
                <w:b/>
                <w:sz w:val="20"/>
              </w:rPr>
              <w:t xml:space="preserve">3.5  </w:t>
            </w:r>
            <w:r>
              <w:rPr>
                <w:rFonts w:ascii="Arial" w:hAnsi="Arial" w:cs="Arial"/>
                <w:sz w:val="20"/>
              </w:rPr>
              <w:t xml:space="preserve">    curs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t>3.6</w:t>
            </w:r>
            <w:r>
              <w:rPr>
                <w:rFonts w:ascii="Arial" w:hAnsi="Arial" w:cs="Arial"/>
                <w:sz w:val="20"/>
                <w:lang w:val="fr-FR"/>
              </w:rPr>
              <w:t xml:space="preserve">  seminar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b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9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Distribuţia fondului de timp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9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Studiu după manual, suport de curs, bibliografie şi altele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9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Documentare suplimentară în bibliotecă, pe platformele electronice de specialitate şi pe teren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9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Pregătire seminarii/laboratoare, teme, referate, portofolii şi eseuri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9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Tutoriat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9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Examinări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9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Alte activităţi ...................................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>
      <w:pPr>
        <w:ind w:left="57"/>
        <w:rPr>
          <w:rFonts w:ascii="Arial" w:hAnsi="Arial" w:cs="Arial"/>
          <w:b/>
          <w:bCs/>
          <w:sz w:val="12"/>
          <w:szCs w:val="12"/>
        </w:rPr>
      </w:pPr>
    </w:p>
    <w:tbl>
      <w:tblPr>
        <w:tblStyle w:val="5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80" w:type="dxa"/>
            <w:shd w:val="clear" w:color="auto" w:fill="auto"/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t xml:space="preserve">3.7 </w:t>
            </w:r>
            <w:r>
              <w:rPr>
                <w:rFonts w:ascii="Arial" w:hAnsi="Arial" w:cs="Arial"/>
                <w:sz w:val="20"/>
                <w:lang w:val="fr-FR"/>
              </w:rPr>
              <w:t>Total ore studiu individual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ind w:left="57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lang w:val="en-US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80" w:type="dxa"/>
            <w:shd w:val="clear" w:color="auto" w:fill="auto"/>
            <w:vAlign w:val="center"/>
          </w:tcPr>
          <w:p>
            <w:pPr>
              <w:ind w:left="57"/>
              <w:rPr>
                <w:rFonts w:ascii="Arial" w:hAnsi="Arial" w:cs="Arial"/>
                <w:b/>
                <w:spacing w:val="-4"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t xml:space="preserve">3.8 </w:t>
            </w:r>
            <w:r>
              <w:rPr>
                <w:rFonts w:ascii="Arial" w:hAnsi="Arial" w:cs="Arial"/>
                <w:sz w:val="20"/>
                <w:lang w:val="fr-FR"/>
              </w:rPr>
              <w:t>Total ore pe semestru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ind w:left="57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lang w:val="en-US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180" w:type="dxa"/>
            <w:shd w:val="clear" w:color="auto" w:fill="auto"/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  <w:lang w:val="fr-FR"/>
              </w:rPr>
            </w:pPr>
            <w:r>
              <w:rPr>
                <w:rFonts w:ascii="Arial" w:hAnsi="Arial" w:cs="Arial"/>
                <w:b/>
                <w:spacing w:val="-4"/>
                <w:sz w:val="20"/>
                <w:lang w:val="fr-FR"/>
              </w:rPr>
              <w:t xml:space="preserve">3.9 </w:t>
            </w:r>
            <w:r>
              <w:rPr>
                <w:rFonts w:ascii="Arial" w:hAnsi="Arial" w:cs="Arial"/>
                <w:spacing w:val="-4"/>
                <w:sz w:val="20"/>
                <w:lang w:val="fr-FR"/>
              </w:rPr>
              <w:t>Număr de credite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ind w:left="57"/>
              <w:jc w:val="center"/>
              <w:rPr>
                <w:rFonts w:hint="default"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lang w:val="en-US"/>
              </w:rPr>
              <w:t>3</w:t>
            </w:r>
          </w:p>
        </w:tc>
      </w:tr>
    </w:tbl>
    <w:p>
      <w:pPr>
        <w:rPr>
          <w:rFonts w:ascii="Arial" w:hAnsi="Arial" w:cs="Arial"/>
          <w:lang w:val="fr-FR"/>
        </w:rPr>
      </w:pPr>
    </w:p>
    <w:tbl>
      <w:tblPr>
        <w:tblStyle w:val="5"/>
        <w:tblpPr w:leftFromText="180" w:rightFromText="180" w:vertAnchor="text" w:horzAnchor="margin" w:tblpY="170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6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8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t xml:space="preserve">4. Precondiţii </w:t>
            </w:r>
            <w:r>
              <w:rPr>
                <w:rFonts w:ascii="Arial" w:hAnsi="Arial" w:cs="Arial"/>
                <w:sz w:val="20"/>
                <w:lang w:val="fr-FR"/>
              </w:rPr>
              <w:t>(dacă este cazul)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t xml:space="preserve">4.1 </w:t>
            </w:r>
            <w:r>
              <w:rPr>
                <w:rFonts w:ascii="Arial" w:hAnsi="Arial" w:cs="Arial"/>
                <w:sz w:val="20"/>
                <w:lang w:val="fr-FR"/>
              </w:rPr>
              <w:t>De curriculum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Structuri algebrice, Algebră liniară, Geometrie euclidiană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t xml:space="preserve">4.2 </w:t>
            </w:r>
            <w:r>
              <w:rPr>
                <w:rFonts w:ascii="Arial" w:hAnsi="Arial" w:cs="Arial"/>
                <w:sz w:val="20"/>
                <w:lang w:val="fr-FR"/>
              </w:rPr>
              <w:t>De competenţe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Operarea cu noţiunile de bază ale algebrei şi geometriei euclidiene</w:t>
            </w:r>
          </w:p>
        </w:tc>
      </w:tr>
    </w:tbl>
    <w:p>
      <w:pPr>
        <w:rPr>
          <w:rFonts w:ascii="Arial" w:hAnsi="Arial" w:cs="Arial"/>
          <w:lang w:val="fr-FR"/>
        </w:rPr>
      </w:pPr>
    </w:p>
    <w:tbl>
      <w:tblPr>
        <w:tblStyle w:val="5"/>
        <w:tblpPr w:leftFromText="180" w:rightFromText="180" w:vertAnchor="text" w:horzAnchor="margin" w:tblpY="170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6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8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5. Condiţii </w:t>
            </w:r>
            <w:r>
              <w:rPr>
                <w:rFonts w:ascii="Arial" w:hAnsi="Arial" w:cs="Arial"/>
                <w:sz w:val="20"/>
              </w:rPr>
              <w:t>(dacă este cazul)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5.1 </w:t>
            </w:r>
            <w:r>
              <w:rPr>
                <w:rFonts w:ascii="Arial" w:hAnsi="Arial" w:cs="Arial"/>
                <w:sz w:val="20"/>
              </w:rPr>
              <w:t xml:space="preserve">De desfăşurare a cursului 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hint="default" w:ascii="Arial" w:hAnsi="Arial" w:cs="Arial"/>
                <w:sz w:val="20"/>
                <w:lang w:val="en-US"/>
              </w:rPr>
              <w:t>Amfiteatru, c</w:t>
            </w:r>
            <w:r>
              <w:rPr>
                <w:rFonts w:ascii="Arial" w:hAnsi="Arial" w:cs="Arial"/>
                <w:sz w:val="20"/>
              </w:rPr>
              <w:t>alculator, camer</w:t>
            </w:r>
            <w:r>
              <w:rPr>
                <w:rFonts w:ascii="Arial" w:hAnsi="Arial" w:cs="Arial"/>
                <w:sz w:val="20"/>
                <w:lang w:val="fr-FR"/>
              </w:rPr>
              <w:t>ă web, Microsoft Teams, Cisco Webex, platforma facultatii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392" w:hanging="335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5.2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De desfăşurare a seminarului/ laboratorului 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hint="default" w:ascii="Arial" w:hAnsi="Arial" w:cs="Arial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/>
              </w:rPr>
              <w:t>Sala de seminar, c</w:t>
            </w:r>
            <w:r>
              <w:rPr>
                <w:rFonts w:ascii="Arial" w:hAnsi="Arial" w:cs="Arial"/>
                <w:sz w:val="20"/>
                <w:szCs w:val="20"/>
              </w:rPr>
              <w:t>alculator, camer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ă web,  Microsoft Teams, Cisco Webex,  platforma facultati</w:t>
            </w:r>
            <w:r>
              <w:rPr>
                <w:rFonts w:hint="default" w:ascii="Arial" w:hAnsi="Arial" w:cs="Arial"/>
                <w:sz w:val="20"/>
                <w:szCs w:val="20"/>
                <w:lang w:val="en-US"/>
              </w:rPr>
              <w:t>i</w:t>
            </w:r>
          </w:p>
        </w:tc>
      </w:tr>
    </w:tbl>
    <w:p>
      <w:p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br w:type="page"/>
      </w:r>
    </w:p>
    <w:tbl>
      <w:tblPr>
        <w:tblStyle w:val="5"/>
        <w:tblpPr w:leftFromText="180" w:rightFromText="180" w:vertAnchor="text" w:horzAnchor="margin" w:tblpX="6" w:tblpY="47"/>
        <w:tblW w:w="9889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9242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889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6. Competenţe specifice acumulate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btLr"/>
            <w:vAlign w:val="center"/>
          </w:tcPr>
          <w:p>
            <w:pPr>
              <w:ind w:left="57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Competenţe profesionale</w:t>
            </w:r>
          </w:p>
        </w:tc>
        <w:tc>
          <w:tcPr>
            <w:tcW w:w="92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2"/>
              <w:snapToGrid w:val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C1 Operarea cu noțiuni şi metode matematice (</w:t>
            </w:r>
            <w:r>
              <w:rPr>
                <w:rFonts w:hint="default" w:ascii="Cambria" w:hAnsi="Cambria"/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credit)</w:t>
            </w:r>
          </w:p>
          <w:p>
            <w:pPr>
              <w:pStyle w:val="22"/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Explicarea şi interpretarea corectă a conceptelor matematice de algebră şi geometrie folosind limbajul specific.</w:t>
            </w:r>
          </w:p>
          <w:p>
            <w:pPr>
              <w:pStyle w:val="22"/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Aplicarea corectă a metodelor şi principiilor de bază în rezolvarea problemelor de matematică.</w:t>
            </w:r>
          </w:p>
          <w:p>
            <w:pPr>
              <w:pStyle w:val="22"/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Recunoaşterea principalelor  clase / tipuri de probleme matematice şi selectarea metodelor şi a tehnicilor adecvate pentru rezolvarea lor.</w:t>
            </w:r>
          </w:p>
          <w:p>
            <w:pPr>
              <w:pStyle w:val="22"/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  <w:p>
            <w:pPr>
              <w:pStyle w:val="22"/>
              <w:snapToGrid w:val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C5 Demonstrarea rezultatelor matematice folosind diferite concepte şi rationamente matematice (</w:t>
            </w:r>
            <w:r>
              <w:rPr>
                <w:rFonts w:hint="default" w:ascii="Cambria" w:hAnsi="Cambria"/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credit</w:t>
            </w:r>
            <w:bookmarkStart w:id="0" w:name="_GoBack"/>
            <w:bookmarkEnd w:id="0"/>
            <w:r>
              <w:rPr>
                <w:rFonts w:ascii="Cambria" w:hAnsi="Cambria"/>
                <w:b/>
                <w:bCs/>
                <w:sz w:val="20"/>
                <w:szCs w:val="20"/>
              </w:rPr>
              <w:t>)</w:t>
            </w:r>
          </w:p>
          <w:p>
            <w:pPr>
              <w:pStyle w:val="22"/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Identificarea adecvată a conceptelor, metodelor şi  tehnicilor de demonstrație matematică.</w:t>
            </w:r>
          </w:p>
          <w:p>
            <w:pPr>
              <w:pStyle w:val="22"/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Utilizarea raționamentelor matematice în demonstrarea unor rezultate matematice din tematica cursului.</w:t>
            </w:r>
          </w:p>
          <w:p>
            <w:pPr>
              <w:pStyle w:val="22"/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Construirea şi dezvoltarea de argumentări logice cu scopul demonstrării unor rezultate matematice,  cu identificarea clară a ipotezelor şi concluziilor.</w:t>
            </w:r>
          </w:p>
          <w:p>
            <w:pPr>
              <w:pStyle w:val="22"/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Evaluarea comparativă şi utilizarea eficientă a diferitelor metode de demonstrație.</w:t>
            </w:r>
          </w:p>
          <w:p>
            <w:pPr>
              <w:pStyle w:val="22"/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btLr"/>
            <w:vAlign w:val="center"/>
          </w:tcPr>
          <w:p>
            <w:pPr>
              <w:ind w:left="57" w:right="113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Competenţe transversale</w:t>
            </w:r>
          </w:p>
        </w:tc>
        <w:tc>
          <w:tcPr>
            <w:tcW w:w="92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2"/>
              <w:snapToGrid w:val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CT1 Aplicarea regulilor de muncă riguroasă şi eficientă, manifestarea unor atitudini responsabile față de domeniul ştiințific şi didactic, pentru valorificarea optimă şi creativă a propriului potential în situații specifice, cu respectarea principiilor şi a normelor de etica profesională. (1 credit)</w:t>
            </w:r>
          </w:p>
          <w:p>
            <w:pPr>
              <w:pStyle w:val="22"/>
              <w:snapToGrid w:val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>
            <w:pPr>
              <w:pStyle w:val="22"/>
              <w:snapToGrid w:val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Elaborarea unor teme/referate având tematica  subordonată celei de la curs şi seminar.</w:t>
            </w:r>
          </w:p>
        </w:tc>
      </w:tr>
    </w:tbl>
    <w:p>
      <w:pPr>
        <w:rPr>
          <w:rFonts w:ascii="Arial" w:hAnsi="Arial" w:cs="Arial"/>
        </w:rPr>
      </w:pPr>
    </w:p>
    <w:tbl>
      <w:tblPr>
        <w:tblStyle w:val="5"/>
        <w:tblpPr w:leftFromText="180" w:rightFromText="180" w:vertAnchor="text" w:horzAnchor="margin" w:tblpX="6" w:tblpY="47"/>
        <w:tblW w:w="9889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9207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889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7. Obiectivele disciplinei </w:t>
            </w:r>
            <w:r>
              <w:rPr>
                <w:rFonts w:ascii="Arial" w:hAnsi="Arial" w:cs="Arial"/>
                <w:sz w:val="20"/>
              </w:rPr>
              <w:t>(din grila competenţelor specifice acumulate)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btLr"/>
            <w:vAlign w:val="center"/>
          </w:tcPr>
          <w:p>
            <w:pPr>
              <w:ind w:left="57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7.1 Obiectivul general</w:t>
            </w:r>
          </w:p>
        </w:tc>
        <w:tc>
          <w:tcPr>
            <w:tcW w:w="92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jc w:val="both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1. Recapitularea de către studenţi a unor noţiuni, concepte şi metode fundamentale ale algebrei.</w:t>
            </w:r>
          </w:p>
          <w:p>
            <w:pPr>
              <w:autoSpaceDE w:val="0"/>
              <w:autoSpaceDN w:val="0"/>
              <w:adjustRightInd w:val="0"/>
              <w:rPr>
                <w:rFonts w:eastAsia="Times New Roman" w:cs="Cambria"/>
                <w:lang w:val="ro-RO" w:eastAsia="ro-RO"/>
              </w:rPr>
            </w:pPr>
            <w:r>
              <w:rPr>
                <w:rFonts w:cs="Arial"/>
                <w:color w:val="000000"/>
                <w:lang w:val="ro-RO"/>
              </w:rPr>
              <w:t>2. Utilizarea unor tehnici de lucru specifice dif</w:t>
            </w:r>
            <w:r>
              <w:rPr>
                <w:rFonts w:cs="Arial"/>
                <w:lang w:val="ro-RO"/>
              </w:rPr>
              <w:t>eritelor structuri algebrice</w:t>
            </w:r>
          </w:p>
          <w:p>
            <w:pPr>
              <w:autoSpaceDE w:val="0"/>
              <w:autoSpaceDN w:val="0"/>
              <w:adjustRightInd w:val="0"/>
              <w:rPr>
                <w:lang w:val="ro-RO" w:eastAsia="ro-RO"/>
              </w:rPr>
            </w:pPr>
            <w:r>
              <w:rPr>
                <w:lang w:val="ro-RO" w:eastAsia="ro-RO"/>
              </w:rPr>
              <w:t>3. Perfectionarea utiliz</w:t>
            </w:r>
            <w:r>
              <w:rPr>
                <w:rFonts w:eastAsia="Times New Roman" w:cs="Cambria"/>
                <w:lang w:val="ro-RO" w:eastAsia="ro-RO"/>
              </w:rPr>
              <w:t>ă</w:t>
            </w:r>
            <w:r>
              <w:rPr>
                <w:lang w:val="ro-RO" w:eastAsia="ro-RO"/>
              </w:rPr>
              <w:t xml:space="preserve">rii unor tehnici ale geometriei afine </w:t>
            </w:r>
            <w:r>
              <w:rPr>
                <w:rFonts w:eastAsia="Times New Roman" w:cs="Cambria"/>
                <w:lang w:val="ro-RO" w:eastAsia="ro-RO"/>
              </w:rPr>
              <w:t>şi</w:t>
            </w:r>
            <w:r>
              <w:rPr>
                <w:lang w:val="ro-RO" w:eastAsia="ro-RO"/>
              </w:rPr>
              <w:t xml:space="preserve"> euclidiene.</w:t>
            </w:r>
          </w:p>
          <w:p>
            <w:pPr>
              <w:autoSpaceDE w:val="0"/>
              <w:autoSpaceDN w:val="0"/>
              <w:adjustRightInd w:val="0"/>
              <w:rPr>
                <w:lang w:val="ro-RO" w:eastAsia="ro-RO"/>
              </w:rPr>
            </w:pPr>
            <w:r>
              <w:rPr>
                <w:lang w:val="ro-RO" w:eastAsia="ro-RO"/>
              </w:rPr>
              <w:t>4. Generalizarea unor teoreme celebre de geometrie studiate în liceu de la plan la spatiul euclidian trei dimensional.</w:t>
            </w:r>
          </w:p>
          <w:p>
            <w:pPr>
              <w:autoSpaceDE w:val="0"/>
              <w:autoSpaceDN w:val="0"/>
              <w:adjustRightInd w:val="0"/>
              <w:rPr>
                <w:rFonts w:hint="default"/>
                <w:lang w:val="en-US" w:eastAsia="ro-RO"/>
              </w:rPr>
            </w:pPr>
            <w:r>
              <w:rPr>
                <w:lang w:val="ro-RO" w:eastAsia="ro-RO"/>
              </w:rPr>
              <w:t>5. Abordarea din punct de vedere metodic a materiei de geometrie predat</w:t>
            </w:r>
            <w:r>
              <w:rPr>
                <w:rFonts w:hint="default"/>
                <w:lang w:val="en-US" w:eastAsia="ro-RO"/>
              </w:rPr>
              <w:t>a</w:t>
            </w:r>
            <w:r>
              <w:rPr>
                <w:lang w:val="ro-RO" w:eastAsia="ro-RO"/>
              </w:rPr>
              <w:t xml:space="preserve"> in clas</w:t>
            </w:r>
            <w:r>
              <w:rPr>
                <w:rFonts w:hint="default"/>
                <w:lang w:val="en-US" w:eastAsia="ro-RO"/>
              </w:rPr>
              <w:t xml:space="preserve">a a </w:t>
            </w:r>
            <w:r>
              <w:rPr>
                <w:lang w:val="ro-RO" w:eastAsia="ro-RO"/>
              </w:rPr>
              <w:t xml:space="preserve"> VIII</w:t>
            </w:r>
            <w:r>
              <w:rPr>
                <w:rFonts w:hint="default"/>
                <w:lang w:val="en-US" w:eastAsia="ro-RO"/>
              </w:rPr>
              <w:t>a si tratarea acestor subiecte din punct de vedere  analitic.</w:t>
            </w:r>
          </w:p>
          <w:p>
            <w:pPr>
              <w:autoSpaceDE w:val="0"/>
              <w:autoSpaceDN w:val="0"/>
              <w:adjustRightInd w:val="0"/>
              <w:rPr>
                <w:lang w:val="ro-RO" w:eastAsia="ro-R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btLr"/>
            <w:vAlign w:val="center"/>
          </w:tcPr>
          <w:p>
            <w:pPr>
              <w:ind w:left="57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7.2 Obiectivele specifice</w:t>
            </w:r>
          </w:p>
        </w:tc>
        <w:tc>
          <w:tcPr>
            <w:tcW w:w="92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snapToGrid w:val="0"/>
              <w:jc w:val="both"/>
              <w:rPr>
                <w:rFonts w:ascii="Arial Narrow" w:hAnsi="Arial Narrow"/>
                <w:color w:val="000000"/>
                <w:lang w:val="ro-RO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La finalizarea cu succes a acestei discipline, studenţii vor fi capabili să: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Wingdings" w:hAnsi="Wingdings" w:eastAsia="Times New Roman" w:cs="Wingdings"/>
                <w:sz w:val="20"/>
                <w:szCs w:val="20"/>
                <w:lang w:val="ro-RO" w:eastAsia="ro-RO"/>
              </w:rPr>
              <w:t></w:t>
            </w: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Explice notiunile expuse, să demonstreze şi să interpreteze rezultatele matematice predate.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Wingdings" w:hAnsi="Wingdings" w:eastAsia="Times New Roman" w:cs="Wingdings"/>
                <w:sz w:val="20"/>
                <w:szCs w:val="20"/>
                <w:lang w:val="ro-RO" w:eastAsia="ro-RO"/>
              </w:rPr>
              <w:t></w:t>
            </w: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Utilizeze noţiuni şi rezultate de bază din algebră.</w:t>
            </w:r>
          </w:p>
          <w:p>
            <w:pPr>
              <w:widowControl w:val="0"/>
              <w:autoSpaceDE w:val="0"/>
              <w:snapToGrid w:val="0"/>
              <w:jc w:val="both"/>
              <w:rPr>
                <w:rFonts w:ascii="Arial Narrow" w:hAnsi="Arial Narrow"/>
                <w:color w:val="000000"/>
                <w:sz w:val="20"/>
                <w:szCs w:val="20"/>
                <w:lang w:val="ro-RO"/>
              </w:rPr>
            </w:pPr>
            <w:r>
              <w:rPr>
                <w:rFonts w:ascii="Wingdings" w:hAnsi="Wingdings" w:eastAsia="Times New Roman" w:cs="Wingdings"/>
                <w:sz w:val="20"/>
                <w:szCs w:val="20"/>
                <w:lang w:val="ro-RO" w:eastAsia="ro-RO"/>
              </w:rPr>
              <w:t></w:t>
            </w: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 xml:space="preserve">Utilizeze noţiuni şi rezultate de bază din geometria euclidiana. </w:t>
            </w:r>
          </w:p>
          <w:p>
            <w:pPr>
              <w:widowControl w:val="0"/>
              <w:autoSpaceDE w:val="0"/>
              <w:snapToGrid w:val="0"/>
              <w:jc w:val="both"/>
              <w:rPr>
                <w:rFonts w:ascii="Arial Narrow" w:hAnsi="Arial Narrow"/>
                <w:color w:val="000000"/>
                <w:lang w:val="ro-RO"/>
              </w:rPr>
            </w:pPr>
            <w:r>
              <w:rPr>
                <w:rFonts w:ascii="Wingdings" w:hAnsi="Wingdings" w:eastAsia="Times New Roman" w:cs="Wingdings"/>
                <w:sz w:val="20"/>
                <w:szCs w:val="20"/>
                <w:lang w:val="ro-RO" w:eastAsia="ro-RO"/>
              </w:rPr>
              <w:t></w:t>
            </w: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Compare diferite demonstrații ale aceleiaşi probleme.</w:t>
            </w:r>
          </w:p>
        </w:tc>
      </w:tr>
    </w:tbl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tbl>
      <w:tblPr>
        <w:tblStyle w:val="5"/>
        <w:tblpPr w:leftFromText="180" w:rightFromText="180" w:vertAnchor="text" w:horzAnchor="margin" w:tblpY="170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828"/>
        <w:gridCol w:w="2976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88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8. Conţinut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8.1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Curs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Metode de predare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Observaţii</w:t>
            </w:r>
          </w:p>
          <w:p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(ore şi referinţe bibliografice)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Grupuri. Grupuri simpl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 xml:space="preserve">e. </w:t>
            </w:r>
            <w:r>
              <w:rPr>
                <w:rFonts w:ascii="Arial" w:hAnsi="Arial" w:cs="Arial"/>
                <w:sz w:val="20"/>
                <w:szCs w:val="20"/>
              </w:rPr>
              <w:t>Grupuri r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ezolubile.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Expunerea, conversaţia, demonstraţia, problematizarea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Acţiuni grupal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e. Aplica</w:t>
            </w:r>
            <w:r>
              <w:rPr>
                <w:rFonts w:ascii="Arial" w:hAnsi="Arial" w:cs="Arial"/>
                <w:sz w:val="20"/>
                <w:szCs w:val="20"/>
              </w:rPr>
              <w:t>ţii în alg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ebr</w:t>
            </w:r>
            <w:r>
              <w:rPr>
                <w:rFonts w:ascii="Arial" w:hAnsi="Arial" w:cs="Arial"/>
                <w:sz w:val="20"/>
                <w:szCs w:val="20"/>
              </w:rPr>
              <w:t>ă şi combinatorică.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Expunerea, conversaţia,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demonstraţia, problematizarea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Inele de matrice. Ridicarea matricelor la puterea a 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-a.  Determinanţi remarcabili.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Expunerea, conversaţia,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demonstraţia, problematizarea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Inele de polinoame. Rezultant / discriminant. Polinoame de mai multe nedeterminate. Polinoame simetrice.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Expunerea, conversaţia,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demonstraţia, problematizarea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Rezolvarea ecuaţiilor prin radicali.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Expunerea, conversaţia,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demonstraţia, problematizarea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Elemente de geometrie în spațiu</w:t>
            </w:r>
          </w:p>
          <w:p>
            <w:pPr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Tratare din punct de vedere sintetic (clasa a VIII-a) dar şi analitic (recapitularea unor rezultate învatate la cursurile de Geometrie afină/euclidiană).</w:t>
            </w:r>
          </w:p>
          <w:p>
            <w:pPr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Incidenta, pozitii relative  .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Expunerea, conversaţia,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demonstraţia, problematizarea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 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Paralelism in spatiu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Expunerea, conversaţia,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demonstraţia, problematizarea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ro-RO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Perpendicularitate in spatiu, proiectia ortogonala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Expunerea, conversaţia,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demonstraţia, problematizarea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ro-RO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Distante, unghiuri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Expunerea, conversaţia,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demonstraţia, problematizarea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Volumul poliedrelor, al corpurilor rotunde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Expunerea, conversaţia,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demonstraţia, problematizarea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988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Bibliografie (algebră)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Referin</w:t>
            </w:r>
            <w:r>
              <w:rPr>
                <w:rFonts w:ascii="Arial,Bold" w:hAnsi="Arial,Bold" w:cs="Arial,Bold"/>
                <w:b/>
                <w:bCs/>
                <w:sz w:val="20"/>
                <w:szCs w:val="20"/>
              </w:rPr>
              <w:t>ţ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 principale: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Becheanu, M., ş.a.,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Algebr</w:t>
            </w:r>
            <w:r>
              <w:rPr>
                <w:rFonts w:ascii="Arial,Italic" w:hAnsi="Arial,Italic" w:cs="Arial,Italic"/>
                <w:i/>
                <w:iCs/>
                <w:sz w:val="20"/>
                <w:szCs w:val="20"/>
              </w:rPr>
              <w:t xml:space="preserve">ă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pentru perfec</w:t>
            </w:r>
            <w:r>
              <w:rPr>
                <w:rFonts w:ascii="Arial,Italic" w:hAnsi="Arial,Italic" w:cs="Arial,Italic"/>
                <w:i/>
                <w:iCs/>
                <w:sz w:val="20"/>
                <w:szCs w:val="20"/>
              </w:rPr>
              <w:t>ţ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ionarea profesorilor</w:t>
            </w:r>
            <w:r>
              <w:rPr>
                <w:rFonts w:ascii="Arial" w:hAnsi="Arial" w:cs="Arial"/>
                <w:sz w:val="20"/>
                <w:szCs w:val="20"/>
              </w:rPr>
              <w:t>, E.D.P., Bucureşti, 1981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Ion, I.D., Radu, N.,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Algebr</w:t>
            </w:r>
            <w:r>
              <w:rPr>
                <w:rFonts w:ascii="Arial,Italic" w:hAnsi="Arial,Italic" w:cs="Arial,Italic"/>
                <w:i/>
                <w:iCs/>
                <w:sz w:val="20"/>
                <w:szCs w:val="20"/>
              </w:rPr>
              <w:t>ă</w:t>
            </w:r>
            <w:r>
              <w:rPr>
                <w:rFonts w:ascii="Arial" w:hAnsi="Arial" w:cs="Arial"/>
                <w:sz w:val="20"/>
                <w:szCs w:val="20"/>
              </w:rPr>
              <w:t>, E.D.P., Bucureşti, 1991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Leoreanu, V.,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Fundamente de algebr</w:t>
            </w:r>
            <w:r>
              <w:rPr>
                <w:rFonts w:ascii="Arial,Italic" w:hAnsi="Arial,Italic" w:cs="Arial,Italic"/>
                <w:i/>
                <w:iCs/>
                <w:sz w:val="20"/>
                <w:szCs w:val="20"/>
              </w:rPr>
              <w:t>ă</w:t>
            </w:r>
            <w:r>
              <w:rPr>
                <w:rFonts w:ascii="Arial" w:hAnsi="Arial" w:cs="Arial"/>
                <w:sz w:val="20"/>
                <w:szCs w:val="20"/>
              </w:rPr>
              <w:t>, Ed. Matrix Rom, Bucureşti, 2001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Popovici, C., </w:t>
            </w:r>
            <w:r>
              <w:rPr>
                <w:rFonts w:ascii="Arial" w:hAnsi="Arial" w:cs="Arial"/>
                <w:i/>
                <w:sz w:val="20"/>
                <w:szCs w:val="20"/>
              </w:rPr>
              <w:t>Teoria numerelor</w:t>
            </w:r>
            <w:r>
              <w:rPr>
                <w:rFonts w:ascii="Arial" w:hAnsi="Arial" w:cs="Arial"/>
                <w:sz w:val="20"/>
                <w:szCs w:val="20"/>
              </w:rPr>
              <w:t>, Editura Didactică şi Pedagogică, Bucureşti, 1973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Tamas, V., Tofan, I., Leoreanu, V., </w:t>
            </w:r>
            <w:r>
              <w:rPr>
                <w:rFonts w:ascii="Arial" w:hAnsi="Arial" w:cs="Arial"/>
                <w:i/>
                <w:sz w:val="20"/>
                <w:szCs w:val="20"/>
              </w:rPr>
              <w:t>Curs de aritmetică</w:t>
            </w:r>
            <w:r>
              <w:rPr>
                <w:rFonts w:ascii="Arial" w:hAnsi="Arial" w:cs="Arial"/>
                <w:sz w:val="20"/>
                <w:szCs w:val="20"/>
              </w:rPr>
              <w:t>, Ed. Universităţii “Al.I.Cuza” Iaşi, 2001</w:t>
            </w:r>
          </w:p>
          <w:p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- Tofan, I., Volf, A.C., </w:t>
            </w:r>
            <w:r>
              <w:rPr>
                <w:rFonts w:ascii="Arial" w:hAnsi="Arial" w:cs="Arial"/>
                <w:i/>
                <w:sz w:val="20"/>
                <w:szCs w:val="20"/>
                <w:lang w:val="ro-RO"/>
              </w:rPr>
              <w:t xml:space="preserve"> Algebr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fr-FR"/>
              </w:rPr>
              <w:t xml:space="preserve">ă: Inele. Module. Teorie Galois,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Ed. Matrix Rom, Bucure</w:t>
            </w:r>
            <w:r>
              <w:rPr>
                <w:rFonts w:ascii="Arial" w:hAnsi="Arial" w:cs="Arial"/>
                <w:sz w:val="20"/>
                <w:szCs w:val="20"/>
              </w:rPr>
              <w:t>ş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ti, 2001</w:t>
            </w:r>
          </w:p>
          <w:p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Tomescu, I., </w:t>
            </w:r>
            <w:r>
              <w:rPr>
                <w:rFonts w:ascii="Arial" w:hAnsi="Arial" w:cs="Arial"/>
                <w:i/>
                <w:sz w:val="20"/>
                <w:szCs w:val="20"/>
              </w:rPr>
              <w:t>Introducere în combinatorică</w:t>
            </w:r>
            <w:r>
              <w:rPr>
                <w:rFonts w:ascii="Arial" w:hAnsi="Arial" w:cs="Arial"/>
                <w:sz w:val="20"/>
                <w:szCs w:val="20"/>
              </w:rPr>
              <w:t>, Editura Tehnică, Bucureşti, 1972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Tomescu, I., </w:t>
            </w:r>
            <w:r>
              <w:rPr>
                <w:rFonts w:ascii="Arial" w:hAnsi="Arial" w:cs="Arial"/>
                <w:i/>
                <w:sz w:val="20"/>
                <w:szCs w:val="20"/>
              </w:rPr>
              <w:t>Probleme de combinatorică şi teoria grafurilor</w:t>
            </w:r>
            <w:r>
              <w:rPr>
                <w:rFonts w:ascii="Arial" w:hAnsi="Arial" w:cs="Arial"/>
                <w:sz w:val="20"/>
                <w:szCs w:val="20"/>
              </w:rPr>
              <w:t>, E. D. P., Bucureşti, 1981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Referin</w:t>
            </w:r>
            <w:r>
              <w:rPr>
                <w:rFonts w:ascii="Arial,Bold" w:hAnsi="Arial,Bold" w:cs="Arial,Bold"/>
                <w:b/>
                <w:bCs/>
                <w:sz w:val="20"/>
                <w:szCs w:val="20"/>
              </w:rPr>
              <w:t>ţ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 suplimentare: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Năstăsescu, C., ş.a.,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Bazele algebrei</w:t>
            </w:r>
            <w:r>
              <w:rPr>
                <w:rFonts w:ascii="Arial" w:hAnsi="Arial" w:cs="Arial"/>
                <w:sz w:val="20"/>
                <w:szCs w:val="20"/>
              </w:rPr>
              <w:t>, vol. I., Ed. Acad., Bucureşti, 1986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Purdea, I.,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Tratat de algebr</w:t>
            </w:r>
            <w:r>
              <w:rPr>
                <w:rFonts w:ascii="Arial,Italic" w:hAnsi="Arial,Italic" w:cs="Arial,Italic"/>
                <w:i/>
                <w:iCs/>
                <w:sz w:val="20"/>
                <w:szCs w:val="20"/>
              </w:rPr>
              <w:t xml:space="preserve">ă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modern</w:t>
            </w:r>
            <w:r>
              <w:rPr>
                <w:rFonts w:ascii="Arial,Italic" w:hAnsi="Arial,Italic" w:cs="Arial,Italic"/>
                <w:i/>
                <w:iCs/>
                <w:sz w:val="20"/>
                <w:szCs w:val="20"/>
              </w:rPr>
              <w:t>ă</w:t>
            </w:r>
            <w:r>
              <w:rPr>
                <w:rFonts w:ascii="Arial" w:hAnsi="Arial" w:cs="Arial"/>
                <w:sz w:val="20"/>
                <w:szCs w:val="20"/>
              </w:rPr>
              <w:t>, Ed. Acad., Bucureşti, 1982</w:t>
            </w:r>
          </w:p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Bibliografie (geometrie)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Referinţe principale: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Manuale de geometrie, clasele VIII-XI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E. Moise, </w:t>
            </w:r>
            <w:r>
              <w:rPr>
                <w:rFonts w:ascii="Arial" w:hAnsi="Arial" w:cs="Arial"/>
                <w:i/>
                <w:sz w:val="20"/>
                <w:szCs w:val="20"/>
              </w:rPr>
              <w:t>Geometrie elementară dintr-un punct de vedere superior</w:t>
            </w:r>
            <w:r>
              <w:rPr>
                <w:rFonts w:ascii="Arial" w:hAnsi="Arial" w:cs="Arial"/>
                <w:sz w:val="20"/>
                <w:szCs w:val="20"/>
              </w:rPr>
              <w:t>,  Editura Didactică şi Pedagogică ,  Bucureşti i, 1980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L. Ornea, A. Turtoi, </w:t>
            </w:r>
            <w:r>
              <w:rPr>
                <w:rFonts w:ascii="Arial" w:hAnsi="Arial" w:cs="Arial"/>
                <w:i/>
                <w:sz w:val="20"/>
                <w:szCs w:val="20"/>
              </w:rPr>
              <w:t>O introducere în geometrie</w:t>
            </w:r>
            <w:r>
              <w:rPr>
                <w:rFonts w:ascii="Arial" w:hAnsi="Arial" w:cs="Arial"/>
                <w:sz w:val="20"/>
                <w:szCs w:val="20"/>
              </w:rPr>
              <w:t xml:space="preserve">, Ed. Theta, Bucureşti, 2011 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I. Pop, </w:t>
            </w:r>
            <w:r>
              <w:rPr>
                <w:rFonts w:ascii="Arial" w:hAnsi="Arial" w:cs="Arial"/>
                <w:i/>
                <w:sz w:val="20"/>
                <w:szCs w:val="20"/>
              </w:rPr>
              <w:t>Geometrie afină, euclidiană şi proiectivă</w:t>
            </w:r>
            <w:r>
              <w:rPr>
                <w:rFonts w:ascii="Arial" w:hAnsi="Arial" w:cs="Arial"/>
                <w:sz w:val="20"/>
                <w:szCs w:val="20"/>
              </w:rPr>
              <w:t>, Ed. Universității Al.I.Cuza, Iaşi, 1999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O. Popescu, V. Radu, </w:t>
            </w:r>
            <w:r>
              <w:rPr>
                <w:rFonts w:ascii="Arial" w:hAnsi="Arial" w:cs="Arial"/>
                <w:i/>
                <w:sz w:val="20"/>
                <w:szCs w:val="20"/>
              </w:rPr>
              <w:t>Metodica predării geometriei în gimnaziu</w:t>
            </w:r>
            <w:r>
              <w:rPr>
                <w:rFonts w:ascii="Arial" w:hAnsi="Arial" w:cs="Arial"/>
                <w:sz w:val="20"/>
                <w:szCs w:val="20"/>
              </w:rPr>
              <w:t>, Editura Didactică şi Pedagogică, Bucureşti, 1983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8.2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Seminar / Laborator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Metode de predare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Observaţii</w:t>
            </w:r>
          </w:p>
          <w:p>
            <w:pPr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(ore şi referinţe bibliografice)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Teste de algebră din materia primilor 2 ani de studiu în vederea pregătirii examenului de licenţă.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Exercițiul, demonstrația, explicația, problematizarea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Teste în vederea pregătirii examenului de titularizare. 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Exercițiul, demonstrația, explicația, problematizarea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Teme pentru cercurile de elevi.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Exercițiul, demonstrația, explicatia, problematizarea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Rezolvarea de probleme de geometrie în spațiu prin metoda sintetică. Compunerea de probleme de paralelism şi perpendicularitate.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Exercițiul, demonstrația, explicația, problematizarea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ro-RO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Rezolvarea de probleme de geometrie în spațiu prin metoda analitica. Compunerea de probleme de paralelism şi perpendicularitate.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Exercițiul, demonstrația, explicația, problematizarea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ro-RO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88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Bibliografie (algebră)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Referin</w:t>
            </w:r>
            <w:r>
              <w:rPr>
                <w:rFonts w:ascii="Arial,Bold" w:hAnsi="Arial,Bold" w:cs="Arial,Bold"/>
                <w:b/>
                <w:bCs/>
                <w:sz w:val="20"/>
                <w:szCs w:val="20"/>
              </w:rPr>
              <w:t>ţ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 principale: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Ion, I.D., ş.a.,,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Probleme de algebr</w:t>
            </w:r>
            <w:r>
              <w:rPr>
                <w:rFonts w:ascii="Arial,Italic" w:hAnsi="Arial,Italic" w:cs="Arial,Italic"/>
                <w:i/>
                <w:iCs/>
                <w:sz w:val="20"/>
                <w:szCs w:val="20"/>
              </w:rPr>
              <w:t>ă</w:t>
            </w:r>
            <w:r>
              <w:rPr>
                <w:rFonts w:ascii="Arial" w:hAnsi="Arial" w:cs="Arial"/>
                <w:sz w:val="20"/>
                <w:szCs w:val="20"/>
              </w:rPr>
              <w:t>, E.D.P., Bucureşti 1981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Spircu, T.,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Structuri algebrice prin probleme</w:t>
            </w:r>
            <w:r>
              <w:rPr>
                <w:rFonts w:ascii="Arial" w:hAnsi="Arial" w:cs="Arial"/>
                <w:sz w:val="20"/>
                <w:szCs w:val="20"/>
              </w:rPr>
              <w:t>, Ed. Știinţifică, Bucureşti, 1991</w:t>
            </w:r>
          </w:p>
          <w:p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Tărnăuceanu, M.,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Probleme de algebr</w:t>
            </w:r>
            <w:r>
              <w:rPr>
                <w:rFonts w:ascii="Arial,Italic" w:hAnsi="Arial,Italic" w:cs="Arial,Italic"/>
                <w:i/>
                <w:iCs/>
                <w:sz w:val="20"/>
                <w:szCs w:val="20"/>
              </w:rPr>
              <w:t>ă</w:t>
            </w:r>
            <w:r>
              <w:rPr>
                <w:rFonts w:ascii="Arial" w:hAnsi="Arial" w:cs="Arial"/>
                <w:sz w:val="20"/>
                <w:szCs w:val="20"/>
              </w:rPr>
              <w:t>, vol. I., II, Ed. Univ.”Al. I. Cuza” Iaşi, 2003, 2004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subiecte şi modele subiecte pentru titularizare de pe </w:t>
            </w:r>
            <w:r>
              <w:fldChar w:fldCharType="begin"/>
            </w:r>
            <w:r>
              <w:instrText xml:space="preserve"> HYPERLINK "http://www.edu.ro" </w:instrText>
            </w:r>
            <w:r>
              <w:fldChar w:fldCharType="separate"/>
            </w:r>
            <w:r>
              <w:rPr>
                <w:rStyle w:val="11"/>
                <w:rFonts w:ascii="Arial" w:hAnsi="Arial" w:cs="Arial"/>
                <w:sz w:val="20"/>
                <w:szCs w:val="20"/>
              </w:rPr>
              <w:t>www.edu.ro</w:t>
            </w:r>
            <w:r>
              <w:rPr>
                <w:rStyle w:val="11"/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Bibliografie (geometrie)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Referinţe principale:</w:t>
            </w:r>
          </w:p>
          <w:p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D. Brânzei, S. Anita, C. Cocea, </w:t>
            </w:r>
            <w:r>
              <w:rPr>
                <w:rFonts w:ascii="Arial" w:hAnsi="Arial" w:cs="Arial"/>
                <w:i/>
                <w:sz w:val="20"/>
                <w:szCs w:val="20"/>
              </w:rPr>
              <w:t>Planul şi spatiul euclidian</w:t>
            </w:r>
            <w:r>
              <w:rPr>
                <w:rFonts w:ascii="Arial" w:hAnsi="Arial" w:cs="Arial"/>
                <w:sz w:val="20"/>
                <w:szCs w:val="20"/>
              </w:rPr>
              <w:t xml:space="preserve">, Ed. Academiei R.S.R, Bucureşti, 1986 </w:t>
            </w:r>
          </w:p>
          <w:p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D. Brânzei, A. Zanoschi, </w:t>
            </w:r>
            <w:r>
              <w:rPr>
                <w:rFonts w:ascii="Arial" w:hAnsi="Arial" w:cs="Arial"/>
                <w:i/>
                <w:sz w:val="20"/>
                <w:szCs w:val="20"/>
              </w:rPr>
              <w:t>Geometrie. Probleme cu vectori</w:t>
            </w:r>
            <w:r>
              <w:rPr>
                <w:rFonts w:ascii="Arial" w:hAnsi="Arial" w:cs="Arial"/>
                <w:sz w:val="20"/>
                <w:szCs w:val="20"/>
              </w:rPr>
              <w:t>, Editura Paralela 45, Piteşti, 2004</w:t>
            </w:r>
          </w:p>
          <w:p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M. Ganga, Manuale de matematică pentru clasele a IX-a si a X-a, Ed. Mathpress, Ploieşti</w:t>
            </w:r>
          </w:p>
          <w:p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G. Popa, P. Georgescu, Geometrie vectorială, analitică şi diferențială, MatrixRom, Bucureşti, 2010 </w:t>
            </w:r>
          </w:p>
          <w:p>
            <w:pPr>
              <w:snapToGrid w:val="0"/>
              <w:jc w:val="both"/>
              <w:rPr>
                <w:rFonts w:ascii="Arial" w:hAnsi="Arial" w:cs="Arial"/>
                <w:color w:val="00000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- Gh. D. Simionescu, Noțiuni de algebră vectorială şi aplicații în geometrie, Ed. Tehnică, Bucureşti, 1982</w:t>
            </w:r>
          </w:p>
        </w:tc>
      </w:tr>
    </w:tbl>
    <w:p>
      <w:pPr>
        <w:rPr>
          <w:rFonts w:ascii="Arial" w:hAnsi="Arial" w:cs="Arial"/>
        </w:rPr>
      </w:pPr>
    </w:p>
    <w:tbl>
      <w:tblPr>
        <w:tblStyle w:val="5"/>
        <w:tblpPr w:leftFromText="180" w:rightFromText="180" w:vertAnchor="text" w:horzAnchor="margin" w:tblpY="170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7" w:hRule="atLeast"/>
        </w:trPr>
        <w:tc>
          <w:tcPr>
            <w:tcW w:w="988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9. Coroborarea conţinutului disciplinei cu aşteptările reprezentanţilor comunităţii, asociaţiilor profesionale şi angajatorilor reprezentativi din domeniul aferent programului</w:t>
            </w:r>
          </w:p>
          <w:p>
            <w:pPr>
              <w:ind w:left="57"/>
              <w:rPr>
                <w:rFonts w:ascii="Arial" w:hAnsi="Arial" w:cs="Arial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9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Cursul şi seminarul vor furniza studenţilor aplicaţii ale noţiunilor şi rezultatelor de algebră  şi  geometrie euclidiană studiate în anul  I şi va oferi noi metode de demonstrare a unor rezultate studiate în gimnaziu şi liceu.</w:t>
            </w:r>
          </w:p>
        </w:tc>
      </w:tr>
    </w:tbl>
    <w:p>
      <w:pPr>
        <w:rPr>
          <w:rFonts w:ascii="Arial" w:hAnsi="Arial" w:cs="Arial"/>
        </w:rPr>
      </w:pPr>
    </w:p>
    <w:tbl>
      <w:tblPr>
        <w:tblStyle w:val="5"/>
        <w:tblpPr w:leftFromText="180" w:rightFromText="180" w:vertAnchor="text" w:horzAnchor="margin" w:tblpY="170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2835"/>
        <w:gridCol w:w="2693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88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10. Evaluare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Tip activitate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10.1 Criterii de evaluare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10.2 Metode de evaluare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10.3 Pondere în nota finală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10.4</w:t>
            </w:r>
            <w:r>
              <w:rPr>
                <w:rFonts w:ascii="Arial" w:hAnsi="Arial" w:cs="Arial"/>
                <w:sz w:val="20"/>
                <w:szCs w:val="20"/>
              </w:rPr>
              <w:t xml:space="preserve"> Curs</w:t>
            </w:r>
          </w:p>
        </w:tc>
        <w:tc>
          <w:tcPr>
            <w:tcW w:w="28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Cunoaşterea şi utilizarea corectă a noţiunilor şi rezultatelor fundamentale, aplicarea corectă a rezultatelor teoretice.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Verificare cu caracter global (examen scris)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10.5</w:t>
            </w:r>
            <w:r>
              <w:rPr>
                <w:rFonts w:ascii="Arial" w:hAnsi="Arial" w:cs="Arial"/>
                <w:sz w:val="20"/>
                <w:szCs w:val="20"/>
              </w:rPr>
              <w:t xml:space="preserve"> Seminar/ Laborator</w:t>
            </w:r>
          </w:p>
        </w:tc>
        <w:tc>
          <w:tcPr>
            <w:tcW w:w="28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Identificarea metodelor pentru rezolvarea unor exerciţii şi probleme, dobândirea unor deprinderi de calcul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val="ro-RO" w:eastAsia="ro-RO"/>
              </w:rPr>
              <w:t>Verificare cu caracter global (examen scris).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988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10.6</w:t>
            </w:r>
            <w:r>
              <w:rPr>
                <w:rFonts w:ascii="Arial" w:hAnsi="Arial" w:cs="Arial"/>
                <w:sz w:val="20"/>
                <w:szCs w:val="20"/>
              </w:rPr>
              <w:t xml:space="preserve"> Standard minim de performanţă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8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snapToGrid w:val="0"/>
              <w:jc w:val="both"/>
              <w:rPr>
                <w:sz w:val="20"/>
                <w:szCs w:val="20"/>
              </w:rPr>
            </w:pPr>
          </w:p>
          <w:p>
            <w:pPr>
              <w:pStyle w:val="22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Definirea noțiunilor, enunțarea rezultatelor teoretice fundamentale şi aplicarea acestora  în rezolvarea de probleme simple.</w:t>
            </w:r>
          </w:p>
          <w:p>
            <w:pPr>
              <w:pStyle w:val="22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Realizarea unor demonstrații  pentru rezultatele matematice studiate, cu grad mediu de dificultate.</w:t>
            </w:r>
          </w:p>
          <w:p>
            <w:pPr>
              <w:pStyle w:val="22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Identificarea şi selectarea metodelor pentru abordarea unor probleme concrete simple.</w:t>
            </w:r>
          </w:p>
          <w:p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ro-RO"/>
              </w:rPr>
              <w:t>Nota la examenul scris: 100%.</w:t>
            </w:r>
          </w:p>
          <w:p>
            <w:pPr>
              <w:pStyle w:val="22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 finală este media aritmetică a notelor obținute la cele două părți ale cursului (algebră şi geometrie), pentru promovare trebuind ca acestea să fie ambele minim 5.</w:t>
            </w:r>
          </w:p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ind w:left="57"/>
        <w:rPr>
          <w:rFonts w:ascii="Arial" w:hAnsi="Arial" w:cs="Arial"/>
          <w:sz w:val="20"/>
        </w:rPr>
      </w:pPr>
    </w:p>
    <w:p>
      <w:pPr>
        <w:ind w:left="57"/>
        <w:rPr>
          <w:rFonts w:ascii="Arial" w:hAnsi="Arial" w:cs="Arial"/>
          <w:sz w:val="20"/>
        </w:rPr>
      </w:pPr>
    </w:p>
    <w:p>
      <w:pPr>
        <w:ind w:left="57"/>
        <w:rPr>
          <w:rFonts w:ascii="Arial" w:hAnsi="Arial" w:cs="Arial"/>
          <w:sz w:val="20"/>
          <w:szCs w:val="20"/>
        </w:rPr>
      </w:pPr>
    </w:p>
    <w:tbl>
      <w:tblPr>
        <w:tblStyle w:val="5"/>
        <w:tblW w:w="964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1980"/>
        <w:gridCol w:w="1800"/>
        <w:gridCol w:w="34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completării</w:t>
            </w:r>
          </w:p>
        </w:tc>
        <w:tc>
          <w:tcPr>
            <w:tcW w:w="3780" w:type="dxa"/>
            <w:gridSpan w:val="2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Titular de curs</w:t>
            </w:r>
          </w:p>
        </w:tc>
        <w:tc>
          <w:tcPr>
            <w:tcW w:w="3420" w:type="dxa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Titular de seminar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</w:tcPr>
          <w:p>
            <w:pPr>
              <w:ind w:left="57"/>
              <w:rPr>
                <w:rFonts w:hint="default"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01.10.202</w:t>
            </w:r>
            <w:r>
              <w:rPr>
                <w:rFonts w:hint="default"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780" w:type="dxa"/>
            <w:gridSpan w:val="2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Prof. dr. Marius Tărnăuceanu</w:t>
            </w:r>
          </w:p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Lect. dr. Oana Constantinescu</w:t>
            </w:r>
          </w:p>
        </w:tc>
        <w:tc>
          <w:tcPr>
            <w:tcW w:w="3420" w:type="dxa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Prof. dr. Marius Tărnăuceanu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Lect. dr. Oana Constantinescu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428" w:type="dxa"/>
            <w:gridSpan w:val="2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avizării în departament</w:t>
            </w:r>
          </w:p>
        </w:tc>
        <w:tc>
          <w:tcPr>
            <w:tcW w:w="5220" w:type="dxa"/>
            <w:gridSpan w:val="2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de departament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  <w:gridSpan w:val="2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  <w:gridSpan w:val="2"/>
          </w:tcPr>
          <w:p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Prof. dr. Ioan Bucătaru</w:t>
            </w:r>
          </w:p>
        </w:tc>
      </w:tr>
    </w:tbl>
    <w:p>
      <w:pPr>
        <w:ind w:left="57"/>
        <w:rPr>
          <w:rFonts w:ascii="Arial" w:hAnsi="Arial" w:cs="Arial"/>
          <w:sz w:val="20"/>
          <w:szCs w:val="20"/>
        </w:rPr>
      </w:pPr>
    </w:p>
    <w:sectPr>
      <w:headerReference r:id="rId3" w:type="default"/>
      <w:footerReference r:id="rId4" w:type="default"/>
      <w:pgSz w:w="11901" w:h="16840"/>
      <w:pgMar w:top="2268" w:right="1134" w:bottom="1134" w:left="1418" w:header="567" w:footer="56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rial,Bold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rial,Italic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Bold">
    <w:altName w:val="Cambria"/>
    <w:panose1 w:val="00000000000000000000"/>
    <w:charset w:val="4D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Arial" w:hAnsi="Arial" w:cs="Arial"/>
        <w:b/>
        <w:bCs/>
      </w:rPr>
    </w:pPr>
  </w:p>
  <w:p>
    <w:pPr>
      <w:pStyle w:val="9"/>
      <w:rPr>
        <w:rFonts w:ascii="Arial" w:hAnsi="Arial" w:cs="Arial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-142"/>
    </w:pPr>
    <w:r>
      <w:rPr>
        <w:rFonts w:ascii="Calibri" w:hAnsi="Calibri" w:cs="Bold"/>
        <w:b/>
        <w:color w:val="808080"/>
        <w:sz w:val="36"/>
        <w:szCs w:val="28"/>
      </w:rPr>
      <w:drawing>
        <wp:inline distT="0" distB="0" distL="0" distR="0">
          <wp:extent cx="6305550" cy="10572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55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E3"/>
    <w:rsid w:val="00011982"/>
    <w:rsid w:val="00017E19"/>
    <w:rsid w:val="00022856"/>
    <w:rsid w:val="00041377"/>
    <w:rsid w:val="000417AD"/>
    <w:rsid w:val="00041B5C"/>
    <w:rsid w:val="00042E1A"/>
    <w:rsid w:val="0004614C"/>
    <w:rsid w:val="00056BE8"/>
    <w:rsid w:val="00062009"/>
    <w:rsid w:val="000623FA"/>
    <w:rsid w:val="0006539B"/>
    <w:rsid w:val="000B7F4C"/>
    <w:rsid w:val="000E48F2"/>
    <w:rsid w:val="000F0DC7"/>
    <w:rsid w:val="0010590E"/>
    <w:rsid w:val="00124A1B"/>
    <w:rsid w:val="001370EF"/>
    <w:rsid w:val="00140129"/>
    <w:rsid w:val="00142CEB"/>
    <w:rsid w:val="00143BFE"/>
    <w:rsid w:val="001522E5"/>
    <w:rsid w:val="00185724"/>
    <w:rsid w:val="001A014B"/>
    <w:rsid w:val="001A1803"/>
    <w:rsid w:val="001A3C79"/>
    <w:rsid w:val="001A5521"/>
    <w:rsid w:val="001B76C4"/>
    <w:rsid w:val="001C23ED"/>
    <w:rsid w:val="001C3B20"/>
    <w:rsid w:val="001D7287"/>
    <w:rsid w:val="001E17D4"/>
    <w:rsid w:val="001F18BB"/>
    <w:rsid w:val="001F452B"/>
    <w:rsid w:val="002134C0"/>
    <w:rsid w:val="00226320"/>
    <w:rsid w:val="00245BFE"/>
    <w:rsid w:val="00246C22"/>
    <w:rsid w:val="00256831"/>
    <w:rsid w:val="00257EE7"/>
    <w:rsid w:val="00280D0F"/>
    <w:rsid w:val="0029343E"/>
    <w:rsid w:val="002A271C"/>
    <w:rsid w:val="002C0D07"/>
    <w:rsid w:val="002E69ED"/>
    <w:rsid w:val="002F53EC"/>
    <w:rsid w:val="002F591F"/>
    <w:rsid w:val="00300E83"/>
    <w:rsid w:val="00324DF1"/>
    <w:rsid w:val="003524F1"/>
    <w:rsid w:val="003531F8"/>
    <w:rsid w:val="00360106"/>
    <w:rsid w:val="003609BE"/>
    <w:rsid w:val="003640BD"/>
    <w:rsid w:val="00392CCE"/>
    <w:rsid w:val="00397AA1"/>
    <w:rsid w:val="003C0AE3"/>
    <w:rsid w:val="003D4DE3"/>
    <w:rsid w:val="003E116B"/>
    <w:rsid w:val="003E54E4"/>
    <w:rsid w:val="003E6942"/>
    <w:rsid w:val="004143B3"/>
    <w:rsid w:val="00417C09"/>
    <w:rsid w:val="00442EE8"/>
    <w:rsid w:val="0045105A"/>
    <w:rsid w:val="00455CA2"/>
    <w:rsid w:val="00457613"/>
    <w:rsid w:val="0047638E"/>
    <w:rsid w:val="00486EAA"/>
    <w:rsid w:val="004B5C5D"/>
    <w:rsid w:val="004B7366"/>
    <w:rsid w:val="004E5897"/>
    <w:rsid w:val="004E7A82"/>
    <w:rsid w:val="005170D7"/>
    <w:rsid w:val="00537ADA"/>
    <w:rsid w:val="005451DA"/>
    <w:rsid w:val="00552D29"/>
    <w:rsid w:val="00556D90"/>
    <w:rsid w:val="00560EF1"/>
    <w:rsid w:val="00574364"/>
    <w:rsid w:val="00577D26"/>
    <w:rsid w:val="00581ACB"/>
    <w:rsid w:val="00583EE3"/>
    <w:rsid w:val="005A1C54"/>
    <w:rsid w:val="005A1D3E"/>
    <w:rsid w:val="005B337C"/>
    <w:rsid w:val="005B390E"/>
    <w:rsid w:val="005D6EBC"/>
    <w:rsid w:val="005E21A0"/>
    <w:rsid w:val="005E5882"/>
    <w:rsid w:val="005F26B9"/>
    <w:rsid w:val="005F6D55"/>
    <w:rsid w:val="0060344C"/>
    <w:rsid w:val="00607C50"/>
    <w:rsid w:val="0061087D"/>
    <w:rsid w:val="00622385"/>
    <w:rsid w:val="00623F40"/>
    <w:rsid w:val="00625301"/>
    <w:rsid w:val="00641DC1"/>
    <w:rsid w:val="00642CC8"/>
    <w:rsid w:val="00652AC2"/>
    <w:rsid w:val="00660A51"/>
    <w:rsid w:val="00684E82"/>
    <w:rsid w:val="006A3EDA"/>
    <w:rsid w:val="006B493B"/>
    <w:rsid w:val="006E74D7"/>
    <w:rsid w:val="006F1D45"/>
    <w:rsid w:val="007079E6"/>
    <w:rsid w:val="00710491"/>
    <w:rsid w:val="00711964"/>
    <w:rsid w:val="00713533"/>
    <w:rsid w:val="00714EBD"/>
    <w:rsid w:val="00720544"/>
    <w:rsid w:val="00723E55"/>
    <w:rsid w:val="007312CA"/>
    <w:rsid w:val="007342CD"/>
    <w:rsid w:val="0073630D"/>
    <w:rsid w:val="00743BEB"/>
    <w:rsid w:val="007460C5"/>
    <w:rsid w:val="00771A6B"/>
    <w:rsid w:val="007A1182"/>
    <w:rsid w:val="007A6499"/>
    <w:rsid w:val="007B1EC7"/>
    <w:rsid w:val="007E00CC"/>
    <w:rsid w:val="007E516D"/>
    <w:rsid w:val="008029E7"/>
    <w:rsid w:val="00803B52"/>
    <w:rsid w:val="00816CD3"/>
    <w:rsid w:val="00837B2A"/>
    <w:rsid w:val="008520DF"/>
    <w:rsid w:val="00854790"/>
    <w:rsid w:val="008646B1"/>
    <w:rsid w:val="00894BA4"/>
    <w:rsid w:val="00897FC7"/>
    <w:rsid w:val="008A2360"/>
    <w:rsid w:val="008C294A"/>
    <w:rsid w:val="008C6E5D"/>
    <w:rsid w:val="008D5177"/>
    <w:rsid w:val="008E0B59"/>
    <w:rsid w:val="009216B5"/>
    <w:rsid w:val="0092175B"/>
    <w:rsid w:val="009225E7"/>
    <w:rsid w:val="00933652"/>
    <w:rsid w:val="00954C39"/>
    <w:rsid w:val="009672A8"/>
    <w:rsid w:val="00984C89"/>
    <w:rsid w:val="0099188D"/>
    <w:rsid w:val="009A0E70"/>
    <w:rsid w:val="009A409A"/>
    <w:rsid w:val="009A785F"/>
    <w:rsid w:val="009C4427"/>
    <w:rsid w:val="009E26CA"/>
    <w:rsid w:val="009E26F6"/>
    <w:rsid w:val="009E388B"/>
    <w:rsid w:val="009E4A2C"/>
    <w:rsid w:val="009F11F4"/>
    <w:rsid w:val="009F23C1"/>
    <w:rsid w:val="00A20075"/>
    <w:rsid w:val="00A62BD7"/>
    <w:rsid w:val="00A75E77"/>
    <w:rsid w:val="00A77064"/>
    <w:rsid w:val="00AA458D"/>
    <w:rsid w:val="00AC67AD"/>
    <w:rsid w:val="00AF6BFD"/>
    <w:rsid w:val="00B07222"/>
    <w:rsid w:val="00B155F0"/>
    <w:rsid w:val="00B41960"/>
    <w:rsid w:val="00B63551"/>
    <w:rsid w:val="00B660C2"/>
    <w:rsid w:val="00B71696"/>
    <w:rsid w:val="00B75285"/>
    <w:rsid w:val="00B76FF2"/>
    <w:rsid w:val="00B85DFC"/>
    <w:rsid w:val="00BB11F1"/>
    <w:rsid w:val="00BB1BC7"/>
    <w:rsid w:val="00BB6DF5"/>
    <w:rsid w:val="00BE4F06"/>
    <w:rsid w:val="00C00B0D"/>
    <w:rsid w:val="00C14551"/>
    <w:rsid w:val="00C1519F"/>
    <w:rsid w:val="00C25966"/>
    <w:rsid w:val="00C3286E"/>
    <w:rsid w:val="00C45B82"/>
    <w:rsid w:val="00C5311D"/>
    <w:rsid w:val="00C63260"/>
    <w:rsid w:val="00C80D84"/>
    <w:rsid w:val="00CA1185"/>
    <w:rsid w:val="00CB2C82"/>
    <w:rsid w:val="00CD51F5"/>
    <w:rsid w:val="00CE60AB"/>
    <w:rsid w:val="00CF0E36"/>
    <w:rsid w:val="00CF3939"/>
    <w:rsid w:val="00D27280"/>
    <w:rsid w:val="00D41CD4"/>
    <w:rsid w:val="00D459E4"/>
    <w:rsid w:val="00D6157A"/>
    <w:rsid w:val="00D80D3B"/>
    <w:rsid w:val="00D80D8C"/>
    <w:rsid w:val="00D81A57"/>
    <w:rsid w:val="00D82F3C"/>
    <w:rsid w:val="00D85760"/>
    <w:rsid w:val="00D90370"/>
    <w:rsid w:val="00D93AD9"/>
    <w:rsid w:val="00DA1FAC"/>
    <w:rsid w:val="00DA36AE"/>
    <w:rsid w:val="00DB2AE9"/>
    <w:rsid w:val="00DC1301"/>
    <w:rsid w:val="00DC2939"/>
    <w:rsid w:val="00DD5904"/>
    <w:rsid w:val="00DD687F"/>
    <w:rsid w:val="00DE316A"/>
    <w:rsid w:val="00DF2936"/>
    <w:rsid w:val="00E07B9F"/>
    <w:rsid w:val="00E11621"/>
    <w:rsid w:val="00E11CB5"/>
    <w:rsid w:val="00E36BD2"/>
    <w:rsid w:val="00E50DDE"/>
    <w:rsid w:val="00E563D1"/>
    <w:rsid w:val="00E61C62"/>
    <w:rsid w:val="00E86172"/>
    <w:rsid w:val="00EA39ED"/>
    <w:rsid w:val="00EA4C1D"/>
    <w:rsid w:val="00EB13B4"/>
    <w:rsid w:val="00EB2982"/>
    <w:rsid w:val="00EC17A8"/>
    <w:rsid w:val="00EE3ECA"/>
    <w:rsid w:val="00EE4700"/>
    <w:rsid w:val="00EF0F26"/>
    <w:rsid w:val="00EF12BD"/>
    <w:rsid w:val="00F138FE"/>
    <w:rsid w:val="00F13AE3"/>
    <w:rsid w:val="00F6211B"/>
    <w:rsid w:val="00F95013"/>
    <w:rsid w:val="00FA54A1"/>
    <w:rsid w:val="00FA7B59"/>
    <w:rsid w:val="00FB1189"/>
    <w:rsid w:val="00FC02A9"/>
    <w:rsid w:val="00FE0758"/>
    <w:rsid w:val="00FF5F5D"/>
    <w:rsid w:val="1B05144C"/>
    <w:rsid w:val="1B611AE1"/>
    <w:rsid w:val="210C8AC6"/>
    <w:rsid w:val="25A582FA"/>
    <w:rsid w:val="2A13ED2F"/>
    <w:rsid w:val="32651430"/>
    <w:rsid w:val="382AF10A"/>
    <w:rsid w:val="3AD4779D"/>
    <w:rsid w:val="45343D8A"/>
    <w:rsid w:val="4A6951F0"/>
    <w:rsid w:val="4C075CD7"/>
    <w:rsid w:val="50E4508C"/>
    <w:rsid w:val="514B0192"/>
    <w:rsid w:val="54D53EE0"/>
    <w:rsid w:val="588ED382"/>
    <w:rsid w:val="645DB84B"/>
    <w:rsid w:val="72252EF8"/>
    <w:rsid w:val="770E0FDE"/>
    <w:rsid w:val="78AEFAEC"/>
    <w:rsid w:val="7AE43148"/>
    <w:rsid w:val="7EFAE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MS Mincho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mbria" w:hAnsi="Cambria" w:eastAsia="MS Mincho" w:cs="Times New Roman"/>
      <w:sz w:val="24"/>
      <w:szCs w:val="24"/>
      <w:lang w:val="en-US" w:eastAsia="en-US" w:bidi="ar-SA"/>
    </w:rPr>
  </w:style>
  <w:style w:type="paragraph" w:styleId="2">
    <w:name w:val="heading 2"/>
    <w:basedOn w:val="1"/>
    <w:next w:val="1"/>
    <w:link w:val="19"/>
    <w:qFormat/>
    <w:uiPriority w:val="9"/>
    <w:pPr>
      <w:keepNext/>
      <w:spacing w:before="240" w:after="60"/>
      <w:outlineLvl w:val="1"/>
    </w:pPr>
    <w:rPr>
      <w:rFonts w:ascii="Calibri" w:hAnsi="Calibri" w:eastAsia="MS Gothic"/>
      <w:b/>
      <w:bCs/>
      <w:i/>
      <w:iCs/>
      <w:sz w:val="28"/>
      <w:szCs w:val="28"/>
      <w:lang w:val="zh-CN" w:eastAsia="zh-CN"/>
    </w:rPr>
  </w:style>
  <w:style w:type="paragraph" w:styleId="3">
    <w:name w:val="heading 3"/>
    <w:basedOn w:val="1"/>
    <w:next w:val="1"/>
    <w:link w:val="16"/>
    <w:qFormat/>
    <w:uiPriority w:val="9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zh-CN" w:eastAsia="zh-CN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4"/>
    <w:semiHidden/>
    <w:unhideWhenUsed/>
    <w:qFormat/>
    <w:uiPriority w:val="99"/>
    <w:rPr>
      <w:rFonts w:ascii="Lucida Grande" w:hAnsi="Lucida Grande"/>
      <w:sz w:val="18"/>
      <w:szCs w:val="18"/>
      <w:lang w:val="zh-CN" w:eastAsia="zh-CN"/>
    </w:rPr>
  </w:style>
  <w:style w:type="paragraph" w:styleId="7">
    <w:name w:val="Body Text"/>
    <w:basedOn w:val="1"/>
    <w:uiPriority w:val="0"/>
    <w:pPr>
      <w:suppressAutoHyphens/>
      <w:spacing w:after="120"/>
    </w:pPr>
    <w:rPr>
      <w:rFonts w:ascii="Times New Roman" w:hAnsi="Times New Roman" w:eastAsia="Times New Roman"/>
      <w:sz w:val="20"/>
      <w:szCs w:val="20"/>
      <w:lang w:val="en-GB" w:eastAsia="ar-SA"/>
    </w:rPr>
  </w:style>
  <w:style w:type="paragraph" w:styleId="8">
    <w:name w:val="Body Text Indent 2"/>
    <w:basedOn w:val="1"/>
    <w:link w:val="17"/>
    <w:qFormat/>
    <w:uiPriority w:val="0"/>
    <w:pPr>
      <w:spacing w:line="360" w:lineRule="auto"/>
      <w:ind w:firstLine="720"/>
      <w:jc w:val="both"/>
    </w:pPr>
    <w:rPr>
      <w:rFonts w:ascii="Times New Roman" w:hAnsi="Times New Roman" w:eastAsia="Times New Roman"/>
      <w:sz w:val="20"/>
      <w:szCs w:val="20"/>
      <w:lang w:val="ro-RO" w:eastAsia="zh-CN"/>
    </w:rPr>
  </w:style>
  <w:style w:type="paragraph" w:styleId="9">
    <w:name w:val="footer"/>
    <w:basedOn w:val="1"/>
    <w:link w:val="13"/>
    <w:unhideWhenUsed/>
    <w:uiPriority w:val="99"/>
    <w:pPr>
      <w:tabs>
        <w:tab w:val="center" w:pos="4320"/>
        <w:tab w:val="right" w:pos="8640"/>
      </w:tabs>
    </w:pPr>
  </w:style>
  <w:style w:type="paragraph" w:styleId="10">
    <w:name w:val="header"/>
    <w:basedOn w:val="1"/>
    <w:link w:val="12"/>
    <w:unhideWhenUsed/>
    <w:qFormat/>
    <w:uiPriority w:val="99"/>
    <w:pPr>
      <w:tabs>
        <w:tab w:val="center" w:pos="4320"/>
        <w:tab w:val="right" w:pos="8640"/>
      </w:tabs>
    </w:p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customStyle="1" w:styleId="12">
    <w:name w:val="Header Char"/>
    <w:basedOn w:val="4"/>
    <w:link w:val="10"/>
    <w:qFormat/>
    <w:uiPriority w:val="99"/>
  </w:style>
  <w:style w:type="character" w:customStyle="1" w:styleId="13">
    <w:name w:val="Footer Char"/>
    <w:basedOn w:val="4"/>
    <w:link w:val="9"/>
    <w:qFormat/>
    <w:uiPriority w:val="99"/>
  </w:style>
  <w:style w:type="character" w:customStyle="1" w:styleId="14">
    <w:name w:val="Balloon Text Char"/>
    <w:link w:val="6"/>
    <w:semiHidden/>
    <w:uiPriority w:val="99"/>
    <w:rPr>
      <w:rFonts w:ascii="Lucida Grande" w:hAnsi="Lucida Grande" w:cs="Lucida Grande"/>
      <w:sz w:val="18"/>
      <w:szCs w:val="18"/>
    </w:rPr>
  </w:style>
  <w:style w:type="paragraph" w:customStyle="1" w:styleId="15">
    <w:name w:val="Colorful List - Accent 11"/>
    <w:basedOn w:val="1"/>
    <w:qFormat/>
    <w:uiPriority w:val="34"/>
    <w:pPr>
      <w:ind w:left="720"/>
      <w:contextualSpacing/>
    </w:pPr>
  </w:style>
  <w:style w:type="character" w:customStyle="1" w:styleId="16">
    <w:name w:val="Heading 3 Char"/>
    <w:link w:val="3"/>
    <w:qFormat/>
    <w:uiPriority w:val="9"/>
    <w:rPr>
      <w:rFonts w:ascii="Times" w:hAnsi="Times"/>
      <w:b/>
      <w:bCs/>
      <w:sz w:val="27"/>
      <w:szCs w:val="27"/>
    </w:rPr>
  </w:style>
  <w:style w:type="character" w:customStyle="1" w:styleId="17">
    <w:name w:val="Body Text Indent 2 Char"/>
    <w:link w:val="8"/>
    <w:qFormat/>
    <w:uiPriority w:val="0"/>
    <w:rPr>
      <w:rFonts w:ascii="Times New Roman" w:hAnsi="Times New Roman" w:eastAsia="Times New Roman" w:cs="Times New Roman"/>
      <w:szCs w:val="20"/>
      <w:lang w:val="ro-RO"/>
    </w:rPr>
  </w:style>
  <w:style w:type="paragraph" w:customStyle="1" w:styleId="18">
    <w:name w:val="Default"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en-US" w:eastAsia="en-US" w:bidi="ar-SA"/>
    </w:rPr>
  </w:style>
  <w:style w:type="character" w:customStyle="1" w:styleId="19">
    <w:name w:val="Heading 2 Char"/>
    <w:link w:val="2"/>
    <w:semiHidden/>
    <w:uiPriority w:val="9"/>
    <w:rPr>
      <w:rFonts w:ascii="Calibri" w:hAnsi="Calibri" w:eastAsia="MS Gothic" w:cs="Times New Roman"/>
      <w:b/>
      <w:bCs/>
      <w:i/>
      <w:iCs/>
      <w:sz w:val="28"/>
      <w:szCs w:val="28"/>
    </w:rPr>
  </w:style>
  <w:style w:type="paragraph" w:customStyle="1" w:styleId="20">
    <w:name w:val="Head"/>
    <w:basedOn w:val="1"/>
    <w:uiPriority w:val="0"/>
    <w:pPr>
      <w:widowControl w:val="0"/>
      <w:autoSpaceDE w:val="0"/>
      <w:autoSpaceDN w:val="0"/>
      <w:adjustRightInd w:val="0"/>
      <w:spacing w:before="180" w:after="60"/>
      <w:jc w:val="both"/>
    </w:pPr>
    <w:rPr>
      <w:rFonts w:ascii="Times New Roman" w:hAnsi="Times New Roman" w:eastAsia="Times New Roman"/>
      <w:b/>
      <w:sz w:val="22"/>
      <w:szCs w:val="20"/>
    </w:rPr>
  </w:style>
  <w:style w:type="paragraph" w:customStyle="1" w:styleId="21">
    <w:name w:val="Text"/>
    <w:basedOn w:val="1"/>
    <w:uiPriority w:val="0"/>
    <w:pPr>
      <w:spacing w:after="120" w:line="288" w:lineRule="atLeast"/>
      <w:jc w:val="both"/>
    </w:pPr>
    <w:rPr>
      <w:rFonts w:ascii="Times New Roman" w:hAnsi="Times New Roman" w:eastAsia="Times New Roman"/>
      <w:sz w:val="22"/>
    </w:rPr>
  </w:style>
  <w:style w:type="paragraph" w:customStyle="1" w:styleId="22">
    <w:name w:val="WW-Default"/>
    <w:uiPriority w:val="0"/>
    <w:pPr>
      <w:widowControl w:val="0"/>
      <w:suppressAutoHyphens/>
      <w:autoSpaceDE w:val="0"/>
    </w:pPr>
    <w:rPr>
      <w:rFonts w:ascii="Arial" w:hAnsi="Arial" w:eastAsia="Times New Roman" w:cs="Arial"/>
      <w:color w:val="000000"/>
      <w:sz w:val="24"/>
      <w:szCs w:val="24"/>
      <w:lang w:val="ro-RO" w:eastAsia="ar-SA" w:bidi="ar-SA"/>
    </w:rPr>
  </w:style>
  <w:style w:type="character" w:customStyle="1" w:styleId="23">
    <w:name w:val="Absatz-Standardschriftart"/>
    <w:qFormat/>
    <w:uiPriority w:val="0"/>
  </w:style>
  <w:style w:type="character" w:customStyle="1" w:styleId="24">
    <w:name w:val="WW-Absatz-Standardschriftart1111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494F8-C2FA-4A3B-9BFA-CABBC7A21A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ScaleCrop>false</ScaleCrop>
  <LinksUpToDate>false</LinksUpToDate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2021-09-28T10:53:00Z</dcterms:created>
  <dc:creator>Silviu URSU</dc:creator>
  <cp:lastModifiedBy>Oana Constantinescu</cp:lastModifiedBy>
  <cp:lastPrinted>2018-10-02T22:48:00Z</cp:lastPrinted>
  <dcterms:modified xsi:type="dcterms:W3CDTF">2023-09-22T10:48:34Z</dcterms:modified>
  <dc:title>FIŞA DISCIPLINEI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5ADE87D9A1D64712BA5FB633A12CC2F9</vt:lpwstr>
  </property>
</Properties>
</file>